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99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jc w:val="center"/>
        <w:rPr>
          <w:rFonts w:hint="eastAsia" w:ascii="黑体" w:hAnsi="黑体" w:eastAsia="黑体" w:cs="黑体"/>
          <w:b w:val="0"/>
          <w:bCs/>
          <w:i w:val="0"/>
          <w:iCs w:val="0"/>
          <w:caps w:val="0"/>
          <w:color w:val="000000"/>
          <w:spacing w:val="0"/>
          <w:sz w:val="44"/>
          <w:szCs w:val="44"/>
        </w:rPr>
      </w:pPr>
      <w:r>
        <w:rPr>
          <w:rStyle w:val="5"/>
          <w:rFonts w:hint="eastAsia" w:ascii="黑体" w:hAnsi="黑体" w:eastAsia="黑体" w:cs="黑体"/>
          <w:b w:val="0"/>
          <w:bCs/>
          <w:i w:val="0"/>
          <w:iCs w:val="0"/>
          <w:caps w:val="0"/>
          <w:color w:val="000000"/>
          <w:spacing w:val="0"/>
          <w:sz w:val="44"/>
          <w:szCs w:val="44"/>
          <w:shd w:val="clear" w:fill="FFFFFF"/>
        </w:rPr>
        <w:t>堆龙德庆区202</w:t>
      </w:r>
      <w:r>
        <w:rPr>
          <w:rStyle w:val="5"/>
          <w:rFonts w:hint="eastAsia" w:ascii="黑体" w:hAnsi="黑体" w:eastAsia="黑体" w:cs="黑体"/>
          <w:b w:val="0"/>
          <w:bCs/>
          <w:i w:val="0"/>
          <w:iCs w:val="0"/>
          <w:caps w:val="0"/>
          <w:color w:val="000000"/>
          <w:spacing w:val="0"/>
          <w:sz w:val="44"/>
          <w:szCs w:val="44"/>
          <w:shd w:val="clear" w:fill="FFFFFF"/>
          <w:lang w:val="en-US" w:eastAsia="zh-CN"/>
        </w:rPr>
        <w:t>5</w:t>
      </w:r>
      <w:r>
        <w:rPr>
          <w:rStyle w:val="5"/>
          <w:rFonts w:hint="eastAsia" w:ascii="黑体" w:hAnsi="黑体" w:eastAsia="黑体" w:cs="黑体"/>
          <w:b w:val="0"/>
          <w:bCs/>
          <w:i w:val="0"/>
          <w:iCs w:val="0"/>
          <w:caps w:val="0"/>
          <w:color w:val="000000"/>
          <w:spacing w:val="0"/>
          <w:sz w:val="44"/>
          <w:szCs w:val="44"/>
          <w:shd w:val="clear" w:fill="FFFFFF"/>
        </w:rPr>
        <w:t>年度脱贫县财政衔接推进乡村振兴补助资金实施方案</w:t>
      </w:r>
    </w:p>
    <w:p w14:paraId="03153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shd w:val="clear" w:fill="FFFFFF"/>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为深入贯彻落实《中共中央国务院关于实现巩固拓展脱贫攻坚成果同乡村振兴有效衔接的意见》《中共西藏自治区委员会西藏自治区人民政府关于实现巩固拓展脱贫攻坚成果同乡村振兴有效衔接的实施意见》精神，进一步巩固拓展脱贫攻坚成果，推动全区巩固拓展脱贫攻坚同乡村振兴有效衔接。根据《西藏自治区衔接推进乡村振兴补助资金绩效评价及考核办法的通知》藏财农〔2022〕5号、《西藏自治区财政厅等16家单位关于印发&lt;西藏自治区关于继续支持脱贫县统筹整合使用财政衔接资金的实施细则&gt;的通知》</w:t>
      </w:r>
      <w:bookmarkStart w:id="0" w:name="_GoBack"/>
      <w:bookmarkEnd w:id="0"/>
      <w:r>
        <w:rPr>
          <w:rFonts w:hint="eastAsia" w:ascii="方正仿宋_GB2312" w:hAnsi="方正仿宋_GB2312" w:eastAsia="方正仿宋_GB2312" w:cs="方正仿宋_GB2312"/>
          <w:b w:val="0"/>
          <w:bCs/>
          <w:i w:val="0"/>
          <w:iCs w:val="0"/>
          <w:caps w:val="0"/>
          <w:color w:val="000000"/>
          <w:spacing w:val="0"/>
          <w:sz w:val="32"/>
          <w:szCs w:val="32"/>
          <w:shd w:val="clear" w:fill="FFFFFF"/>
        </w:rPr>
        <w:t>制定《堆龙德庆区202</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5</w:t>
      </w:r>
      <w:r>
        <w:rPr>
          <w:rFonts w:hint="eastAsia" w:ascii="方正仿宋_GB2312" w:hAnsi="方正仿宋_GB2312" w:eastAsia="方正仿宋_GB2312" w:cs="方正仿宋_GB2312"/>
          <w:b w:val="0"/>
          <w:bCs/>
          <w:i w:val="0"/>
          <w:iCs w:val="0"/>
          <w:caps w:val="0"/>
          <w:color w:val="000000"/>
          <w:spacing w:val="0"/>
          <w:sz w:val="32"/>
          <w:szCs w:val="32"/>
          <w:shd w:val="clear" w:fill="FFFFFF"/>
        </w:rPr>
        <w:t>年度脱贫县财政衔接统筹整合资金补充实施方案》（以下简称“补充实施方案”），推进各级财政衔接乡村振兴补助资金管理使用科学化、精细化，持续加大各级资金统筹整合力度，有效提高资金使用效益，着力保障农牧民群众增产增收、着力改善农牧区生产生活面貌，长效促进脱贫攻坚成果巩固，开启全面建设社会主义现代化国家新征程。</w:t>
      </w:r>
    </w:p>
    <w:p w14:paraId="07E0D4D1">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bCs w:val="0"/>
          <w:i w:val="0"/>
          <w:iCs w:val="0"/>
          <w:caps w:val="0"/>
          <w:color w:val="000000"/>
          <w:spacing w:val="0"/>
          <w:sz w:val="32"/>
          <w:szCs w:val="32"/>
          <w:shd w:val="clear" w:fill="FFFFFF"/>
        </w:rPr>
      </w:pPr>
      <w:r>
        <w:rPr>
          <w:rFonts w:hint="eastAsia" w:ascii="方正仿宋_GB2312" w:hAnsi="方正仿宋_GB2312" w:eastAsia="方正仿宋_GB2312" w:cs="方正仿宋_GB2312"/>
          <w:b/>
          <w:bCs w:val="0"/>
          <w:i w:val="0"/>
          <w:iCs w:val="0"/>
          <w:caps w:val="0"/>
          <w:color w:val="000000"/>
          <w:spacing w:val="0"/>
          <w:sz w:val="32"/>
          <w:szCs w:val="32"/>
          <w:shd w:val="clear" w:fill="FFFFFF"/>
        </w:rPr>
        <w:t>指导思想</w:t>
      </w:r>
    </w:p>
    <w:p w14:paraId="26D693D3">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贯彻落实《中共中央国务院关于实现巩固拓展脱贫攻坚成果同乡村振兴有效衔接的意见》和《中共西藏自治区委员会西藏自治区人民政府关于实现巩固拓展脱贫攻坚成果同乡村振兴有效衔接的实施意见》精神，以习近平总书记“三农”工作重要论述为指导，按照区、市、区党委、政府有关决策部署，以提高衔接资金使用效益为目标，以建立项目资金整合平台为抓手，创新体制机制、加大统筹整合力度，加强资金捆绑使用，发挥资金使用效益，为巩固提升脱贫成效和实施乡村振兴提供资金保障。</w:t>
      </w:r>
    </w:p>
    <w:p w14:paraId="718C8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bCs w:val="0"/>
          <w:i w:val="0"/>
          <w:iCs w:val="0"/>
          <w:caps w:val="0"/>
          <w:color w:val="000000"/>
          <w:spacing w:val="0"/>
          <w:sz w:val="32"/>
          <w:szCs w:val="32"/>
        </w:rPr>
      </w:pPr>
      <w:r>
        <w:rPr>
          <w:rFonts w:hint="eastAsia" w:ascii="方正仿宋_GB2312" w:hAnsi="方正仿宋_GB2312" w:eastAsia="方正仿宋_GB2312" w:cs="方正仿宋_GB2312"/>
          <w:b/>
          <w:bCs w:val="0"/>
          <w:i w:val="0"/>
          <w:iCs w:val="0"/>
          <w:caps w:val="0"/>
          <w:color w:val="000000"/>
          <w:spacing w:val="0"/>
          <w:sz w:val="32"/>
          <w:szCs w:val="32"/>
          <w:shd w:val="clear" w:fill="FFFFFF"/>
        </w:rPr>
        <w:t>二、基本原则</w:t>
      </w:r>
    </w:p>
    <w:p w14:paraId="2371C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(一)坚持政府主导、统筹规划原则。充分发挥政府在统筹整合衔接资金中的主导作用，统筹衔接资金方式分为跨部门同类资金统筹与部门内资金统筹投入两种，衔接使用资金向条件较差村倾斜。</w:t>
      </w:r>
    </w:p>
    <w:p w14:paraId="304D1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（二）坚持多渠道整合、统筹使用原则。在统筹整合衔接资金过程中，做到“多管道进水、一个池子蓄水、一个出口放水”，力争整合所有能整合的衔接资金全力推进巩固拓展脱贫攻坚成果同乡村振兴有效衔接。</w:t>
      </w:r>
    </w:p>
    <w:p w14:paraId="0C092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（三）坚持因地制宜、重点突出原则。根据各镇（街道）、村（居）自然条件、人文特点、资源优势等确定建设重点。</w:t>
      </w:r>
    </w:p>
    <w:p w14:paraId="67AA50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（四）坚持实事求是、量力而行原则。结合本级财政状况和农村所需建设项目的规模，每年确定建设资金额度，实行总量控制，量力而行。</w:t>
      </w:r>
    </w:p>
    <w:p w14:paraId="4D3E94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（五）坚持分工负责、落实责任原则。在资金整合中，各部门要本着“各负其责、各尽其职”的原则，切实负责，推动工作。</w:t>
      </w:r>
    </w:p>
    <w:p w14:paraId="7B3221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bCs w:val="0"/>
          <w:i w:val="0"/>
          <w:iCs w:val="0"/>
          <w:caps w:val="0"/>
          <w:color w:val="000000"/>
          <w:spacing w:val="0"/>
          <w:sz w:val="32"/>
          <w:szCs w:val="32"/>
        </w:rPr>
      </w:pPr>
      <w:r>
        <w:rPr>
          <w:rFonts w:hint="eastAsia" w:ascii="方正仿宋_GB2312" w:hAnsi="方正仿宋_GB2312" w:eastAsia="方正仿宋_GB2312" w:cs="方正仿宋_GB2312"/>
          <w:b/>
          <w:bCs w:val="0"/>
          <w:i w:val="0"/>
          <w:iCs w:val="0"/>
          <w:caps w:val="0"/>
          <w:color w:val="000000"/>
          <w:spacing w:val="0"/>
          <w:sz w:val="32"/>
          <w:szCs w:val="32"/>
          <w:shd w:val="clear" w:fill="FFFFFF"/>
        </w:rPr>
        <w:t>三、 组织领导</w:t>
      </w:r>
    </w:p>
    <w:p w14:paraId="2BA435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统筹整合工作在堆龙德庆区委农村工作领导小组(区委实施乡村振兴战略领导小组)统一领导下，由财政局、乡村振兴局提出衔接项目及资金整合意见，报区委、区政府研究决定。成立专项资金保障领导小组，由乡村振兴局、财政局牵头负责政策调研和制定总体规划，区直各相关部门及各镇（街）要认真组织实施，形成政府主导、部门联动、各司其职、上下齐抓的良好工作局面。领导小组名单如下：</w:t>
      </w:r>
    </w:p>
    <w:p w14:paraId="5EA0B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组    长：扎西桑珠    副区长</w:t>
      </w:r>
    </w:p>
    <w:p w14:paraId="54DA1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副 组 长：杨 开 颜    副区长</w:t>
      </w:r>
    </w:p>
    <w:p w14:paraId="46926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成    员：许    毅    财政局局长</w:t>
      </w:r>
    </w:p>
    <w:p w14:paraId="764A6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pP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赵</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 xml:space="preserve"> </w:t>
      </w: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伟</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 xml:space="preserve"> </w:t>
      </w: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平</w:t>
      </w:r>
      <w:r>
        <w:rPr>
          <w:rFonts w:hint="eastAsia" w:ascii="方正仿宋_GB2312" w:hAnsi="方正仿宋_GB2312" w:eastAsia="方正仿宋_GB2312" w:cs="方正仿宋_GB2312"/>
          <w:b w:val="0"/>
          <w:bCs/>
          <w:i w:val="0"/>
          <w:iCs w:val="0"/>
          <w:caps w:val="0"/>
          <w:color w:val="000000"/>
          <w:spacing w:val="0"/>
          <w:sz w:val="32"/>
          <w:szCs w:val="32"/>
          <w:shd w:val="clear" w:fill="FFFFFF"/>
        </w:rPr>
        <w:t xml:space="preserve">    </w:t>
      </w: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农业农村和科技水利局</w:t>
      </w:r>
    </w:p>
    <w:p w14:paraId="03F1A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阿旺旦增    东嘎街道办党工委副书记、主任</w:t>
      </w:r>
    </w:p>
    <w:p w14:paraId="702F48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德    吉    乃琼街道办事处负责人</w:t>
      </w:r>
    </w:p>
    <w:p w14:paraId="2FE8C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庹    超    羊达街道办党工委副书记、主任</w:t>
      </w:r>
    </w:p>
    <w:p w14:paraId="2B99A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巴    桑    古荣镇党委副书记、镇长</w:t>
      </w:r>
    </w:p>
    <w:p w14:paraId="01F2C7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旦增曲珍</w:t>
      </w:r>
      <w:r>
        <w:rPr>
          <w:rFonts w:hint="eastAsia" w:ascii="方正仿宋_GB2312" w:hAnsi="方正仿宋_GB2312" w:eastAsia="方正仿宋_GB2312" w:cs="方正仿宋_GB2312"/>
          <w:b w:val="0"/>
          <w:bCs/>
          <w:i w:val="0"/>
          <w:iCs w:val="0"/>
          <w:caps w:val="0"/>
          <w:color w:val="000000"/>
          <w:spacing w:val="0"/>
          <w:sz w:val="32"/>
          <w:szCs w:val="32"/>
          <w:shd w:val="clear" w:fill="FFFFFF"/>
        </w:rPr>
        <w:t>    马镇党委副书记、镇长</w:t>
      </w:r>
    </w:p>
    <w:p w14:paraId="1E2BA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张 良 宏    德庆镇党委副书记、镇长</w:t>
      </w:r>
    </w:p>
    <w:p w14:paraId="02619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伊    苏    发改委主任</w:t>
      </w:r>
    </w:p>
    <w:p w14:paraId="0F8F15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潘 文 红    自然资源局局长</w:t>
      </w:r>
    </w:p>
    <w:p w14:paraId="58022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强巴云旦   住建局局长</w:t>
      </w:r>
    </w:p>
    <w:p w14:paraId="55703F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唐    玲   人社局局长</w:t>
      </w:r>
    </w:p>
    <w:p w14:paraId="3B741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次</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 xml:space="preserve">    </w:t>
      </w: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吉</w:t>
      </w:r>
      <w:r>
        <w:rPr>
          <w:rFonts w:hint="eastAsia" w:ascii="方正仿宋_GB2312" w:hAnsi="方正仿宋_GB2312" w:eastAsia="方正仿宋_GB2312" w:cs="方正仿宋_GB2312"/>
          <w:b w:val="0"/>
          <w:bCs/>
          <w:i w:val="0"/>
          <w:iCs w:val="0"/>
          <w:caps w:val="0"/>
          <w:color w:val="000000"/>
          <w:spacing w:val="0"/>
          <w:sz w:val="32"/>
          <w:szCs w:val="32"/>
          <w:shd w:val="clear" w:fill="FFFFFF"/>
        </w:rPr>
        <w:t>   教育局局长</w:t>
      </w:r>
    </w:p>
    <w:p w14:paraId="0E7486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张 淑 娟   卫建委主任</w:t>
      </w:r>
    </w:p>
    <w:p w14:paraId="540178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扎</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 xml:space="preserve">    </w:t>
      </w: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措</w:t>
      </w:r>
      <w:r>
        <w:rPr>
          <w:rFonts w:hint="eastAsia" w:ascii="方正仿宋_GB2312" w:hAnsi="方正仿宋_GB2312" w:eastAsia="方正仿宋_GB2312" w:cs="方正仿宋_GB2312"/>
          <w:b w:val="0"/>
          <w:bCs/>
          <w:i w:val="0"/>
          <w:iCs w:val="0"/>
          <w:caps w:val="0"/>
          <w:color w:val="000000"/>
          <w:spacing w:val="0"/>
          <w:sz w:val="32"/>
          <w:szCs w:val="32"/>
          <w:shd w:val="clear" w:fill="FFFFFF"/>
        </w:rPr>
        <w:t>   民政局局长</w:t>
      </w:r>
    </w:p>
    <w:p w14:paraId="442AE1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bCs w:val="0"/>
          <w:i w:val="0"/>
          <w:iCs w:val="0"/>
          <w:caps w:val="0"/>
          <w:color w:val="000000"/>
          <w:spacing w:val="0"/>
          <w:sz w:val="32"/>
          <w:szCs w:val="32"/>
        </w:rPr>
      </w:pPr>
      <w:r>
        <w:rPr>
          <w:rFonts w:hint="eastAsia" w:ascii="方正仿宋_GB2312" w:hAnsi="方正仿宋_GB2312" w:eastAsia="方正仿宋_GB2312" w:cs="方正仿宋_GB2312"/>
          <w:b/>
          <w:bCs w:val="0"/>
          <w:i w:val="0"/>
          <w:iCs w:val="0"/>
          <w:caps w:val="0"/>
          <w:color w:val="000000"/>
          <w:spacing w:val="0"/>
          <w:sz w:val="32"/>
          <w:szCs w:val="32"/>
          <w:shd w:val="clear" w:fill="FFFFFF"/>
        </w:rPr>
        <w:t>四、工作任务</w:t>
      </w:r>
    </w:p>
    <w:p w14:paraId="66C25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推进乡村振兴目标任务，我们既要登高望远、深谋远虑，也要脚踏实地、直面难题，重视防范风险，有计划有组织地推进工作，切实加强组织领导，结合实际深入调研，抓住统筹兼顾和重点关键，配置优化乡村振兴主体力量，细化乡村振兴工作目标定位，切实确保乡村振兴目标任务如期完成。</w:t>
      </w:r>
    </w:p>
    <w:p w14:paraId="2A2C7B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以全面开展乡村振兴工作为契机，不断巩固提升脱贫攻坚成效，补齐脱贫攻坚短板。通过202</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5</w:t>
      </w:r>
      <w:r>
        <w:rPr>
          <w:rFonts w:hint="eastAsia" w:ascii="方正仿宋_GB2312" w:hAnsi="方正仿宋_GB2312" w:eastAsia="方正仿宋_GB2312" w:cs="方正仿宋_GB2312"/>
          <w:b w:val="0"/>
          <w:bCs/>
          <w:i w:val="0"/>
          <w:iCs w:val="0"/>
          <w:caps w:val="0"/>
          <w:color w:val="000000"/>
          <w:spacing w:val="0"/>
          <w:sz w:val="32"/>
          <w:szCs w:val="32"/>
          <w:shd w:val="clear" w:fill="FFFFFF"/>
        </w:rPr>
        <w:t>年度</w:t>
      </w: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第二批</w:t>
      </w:r>
      <w:r>
        <w:rPr>
          <w:rFonts w:hint="eastAsia" w:ascii="方正仿宋_GB2312" w:hAnsi="方正仿宋_GB2312" w:eastAsia="方正仿宋_GB2312" w:cs="方正仿宋_GB2312"/>
          <w:b w:val="0"/>
          <w:bCs/>
          <w:i w:val="0"/>
          <w:iCs w:val="0"/>
          <w:caps w:val="0"/>
          <w:color w:val="000000"/>
          <w:spacing w:val="0"/>
          <w:sz w:val="32"/>
          <w:szCs w:val="32"/>
          <w:shd w:val="clear" w:fill="FFFFFF"/>
        </w:rPr>
        <w:t>衔接整合资金项目的实施，力争202</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5</w:t>
      </w:r>
      <w:r>
        <w:rPr>
          <w:rFonts w:hint="eastAsia" w:ascii="方正仿宋_GB2312" w:hAnsi="方正仿宋_GB2312" w:eastAsia="方正仿宋_GB2312" w:cs="方正仿宋_GB2312"/>
          <w:b w:val="0"/>
          <w:bCs/>
          <w:i w:val="0"/>
          <w:iCs w:val="0"/>
          <w:caps w:val="0"/>
          <w:color w:val="000000"/>
          <w:spacing w:val="0"/>
          <w:sz w:val="32"/>
          <w:szCs w:val="32"/>
          <w:shd w:val="clear" w:fill="FFFFFF"/>
        </w:rPr>
        <w:t>年底堆龙德庆区乡村振兴工作取得重大进步。农村环境进一步改善，宜居宜业和美乡村建设扎实推进，基层组织建设显著增强，乡村治理体系更加完善，乡风文明达到新高度，群众获得感、幸福感、安全感进一步增强。</w:t>
      </w:r>
    </w:p>
    <w:p w14:paraId="27C991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bCs w:val="0"/>
          <w:i w:val="0"/>
          <w:iCs w:val="0"/>
          <w:caps w:val="0"/>
          <w:color w:val="000000"/>
          <w:spacing w:val="0"/>
          <w:sz w:val="32"/>
          <w:szCs w:val="32"/>
        </w:rPr>
      </w:pPr>
      <w:r>
        <w:rPr>
          <w:rFonts w:hint="eastAsia" w:ascii="方正仿宋_GB2312" w:hAnsi="方正仿宋_GB2312" w:eastAsia="方正仿宋_GB2312" w:cs="方正仿宋_GB2312"/>
          <w:b/>
          <w:bCs w:val="0"/>
          <w:i w:val="0"/>
          <w:iCs w:val="0"/>
          <w:caps w:val="0"/>
          <w:color w:val="000000"/>
          <w:spacing w:val="0"/>
          <w:sz w:val="32"/>
          <w:szCs w:val="32"/>
          <w:shd w:val="clear" w:fill="FFFFFF"/>
        </w:rPr>
        <w:t>五、整合资金来源及规模</w:t>
      </w:r>
    </w:p>
    <w:p w14:paraId="210A86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shd w:val="clear" w:fill="FFFFFF"/>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第二批衔接资金总规模为</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2406.39</w:t>
      </w:r>
      <w:r>
        <w:rPr>
          <w:rFonts w:hint="eastAsia" w:ascii="方正仿宋_GB2312" w:hAnsi="方正仿宋_GB2312" w:eastAsia="方正仿宋_GB2312" w:cs="方正仿宋_GB2312"/>
          <w:b w:val="0"/>
          <w:bCs/>
          <w:i w:val="0"/>
          <w:iCs w:val="0"/>
          <w:caps w:val="0"/>
          <w:color w:val="000000"/>
          <w:spacing w:val="0"/>
          <w:sz w:val="32"/>
          <w:szCs w:val="32"/>
          <w:shd w:val="clear" w:fill="FFFFFF"/>
        </w:rPr>
        <w:t>万元，其中：中央财政衔接推进乡村振兴补助资金</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1030</w:t>
      </w:r>
      <w:r>
        <w:rPr>
          <w:rFonts w:hint="eastAsia" w:ascii="方正仿宋_GB2312" w:hAnsi="方正仿宋_GB2312" w:eastAsia="方正仿宋_GB2312" w:cs="方正仿宋_GB2312"/>
          <w:b w:val="0"/>
          <w:bCs/>
          <w:i w:val="0"/>
          <w:iCs w:val="0"/>
          <w:caps w:val="0"/>
          <w:color w:val="000000"/>
          <w:spacing w:val="0"/>
          <w:sz w:val="32"/>
          <w:szCs w:val="32"/>
          <w:shd w:val="clear" w:fill="FFFFFF"/>
        </w:rPr>
        <w:t>万元、自治区财政衔接推进乡村振兴补助资金</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1376.39</w:t>
      </w:r>
      <w:r>
        <w:rPr>
          <w:rFonts w:hint="eastAsia" w:ascii="方正仿宋_GB2312" w:hAnsi="方正仿宋_GB2312" w:eastAsia="方正仿宋_GB2312" w:cs="方正仿宋_GB2312"/>
          <w:b w:val="0"/>
          <w:bCs/>
          <w:i w:val="0"/>
          <w:iCs w:val="0"/>
          <w:caps w:val="0"/>
          <w:color w:val="000000"/>
          <w:spacing w:val="0"/>
          <w:sz w:val="32"/>
          <w:szCs w:val="32"/>
          <w:shd w:val="clear" w:fill="FFFFFF"/>
        </w:rPr>
        <w:t>万元。</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第一批项目调整资金及结余资金3037.63万元。</w:t>
      </w:r>
      <w:r>
        <w:rPr>
          <w:rFonts w:hint="eastAsia" w:ascii="方正仿宋_GB2312" w:hAnsi="方正仿宋_GB2312" w:eastAsia="方正仿宋_GB2312" w:cs="方正仿宋_GB2312"/>
          <w:b w:val="0"/>
          <w:bCs/>
          <w:i w:val="0"/>
          <w:iCs w:val="0"/>
          <w:caps w:val="0"/>
          <w:color w:val="000000"/>
          <w:spacing w:val="0"/>
          <w:sz w:val="32"/>
          <w:szCs w:val="32"/>
          <w:shd w:val="clear" w:fill="FFFFFF"/>
        </w:rPr>
        <w:t>实施符合财政衔接推进乡村振兴补助资金范围的项目</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24</w:t>
      </w:r>
      <w:r>
        <w:rPr>
          <w:rFonts w:hint="eastAsia" w:ascii="方正仿宋_GB2312" w:hAnsi="方正仿宋_GB2312" w:eastAsia="方正仿宋_GB2312" w:cs="方正仿宋_GB2312"/>
          <w:b w:val="0"/>
          <w:bCs/>
          <w:i w:val="0"/>
          <w:iCs w:val="0"/>
          <w:caps w:val="0"/>
          <w:color w:val="000000"/>
          <w:spacing w:val="0"/>
          <w:sz w:val="32"/>
          <w:szCs w:val="32"/>
          <w:shd w:val="clear" w:fill="FFFFFF"/>
        </w:rPr>
        <w:t>个，涉及资金</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5444.02</w:t>
      </w:r>
      <w:r>
        <w:rPr>
          <w:rFonts w:hint="eastAsia" w:ascii="方正仿宋_GB2312" w:hAnsi="方正仿宋_GB2312" w:eastAsia="方正仿宋_GB2312" w:cs="方正仿宋_GB2312"/>
          <w:b w:val="0"/>
          <w:bCs/>
          <w:i w:val="0"/>
          <w:iCs w:val="0"/>
          <w:caps w:val="0"/>
          <w:color w:val="000000"/>
          <w:spacing w:val="0"/>
          <w:sz w:val="32"/>
          <w:szCs w:val="32"/>
          <w:shd w:val="clear" w:fill="FFFFFF"/>
        </w:rPr>
        <w:t>万元</w:t>
      </w: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w:t>
      </w:r>
      <w:r>
        <w:rPr>
          <w:rFonts w:hint="eastAsia" w:ascii="方正仿宋_GB2312" w:hAnsi="方正仿宋_GB2312" w:eastAsia="方正仿宋_GB2312" w:cs="方正仿宋_GB2312"/>
          <w:b w:val="0"/>
          <w:bCs/>
          <w:i w:val="0"/>
          <w:iCs w:val="0"/>
          <w:caps w:val="0"/>
          <w:color w:val="000000"/>
          <w:spacing w:val="0"/>
          <w:sz w:val="32"/>
          <w:szCs w:val="32"/>
          <w:shd w:val="clear" w:fill="FFFFFF"/>
        </w:rPr>
        <w:t>，第二批衔接资金规模</w:t>
      </w:r>
    </w:p>
    <w:p w14:paraId="5B81E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财政衔接推进乡村振兴补助资金共计</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2406.39</w:t>
      </w:r>
      <w:r>
        <w:rPr>
          <w:rFonts w:hint="eastAsia" w:ascii="方正仿宋_GB2312" w:hAnsi="方正仿宋_GB2312" w:eastAsia="方正仿宋_GB2312" w:cs="方正仿宋_GB2312"/>
          <w:b w:val="0"/>
          <w:bCs/>
          <w:i w:val="0"/>
          <w:iCs w:val="0"/>
          <w:caps w:val="0"/>
          <w:color w:val="000000"/>
          <w:spacing w:val="0"/>
          <w:sz w:val="32"/>
          <w:szCs w:val="32"/>
          <w:shd w:val="clear" w:fill="FFFFFF"/>
        </w:rPr>
        <w:t>万元，其中：中央财政衔接推进乡村振兴补助资金</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1030</w:t>
      </w:r>
      <w:r>
        <w:rPr>
          <w:rFonts w:hint="eastAsia" w:ascii="方正仿宋_GB2312" w:hAnsi="方正仿宋_GB2312" w:eastAsia="方正仿宋_GB2312" w:cs="方正仿宋_GB2312"/>
          <w:b w:val="0"/>
          <w:bCs/>
          <w:i w:val="0"/>
          <w:iCs w:val="0"/>
          <w:caps w:val="0"/>
          <w:color w:val="000000"/>
          <w:spacing w:val="0"/>
          <w:sz w:val="32"/>
          <w:szCs w:val="32"/>
          <w:shd w:val="clear" w:fill="FFFFFF"/>
        </w:rPr>
        <w:t>万元、自治区财政衔接推进乡村振兴补助资金</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1376.39万元</w:t>
      </w:r>
      <w:r>
        <w:rPr>
          <w:rFonts w:hint="eastAsia" w:ascii="方正仿宋_GB2312" w:hAnsi="方正仿宋_GB2312" w:eastAsia="方正仿宋_GB2312" w:cs="方正仿宋_GB2312"/>
          <w:b w:val="0"/>
          <w:bCs/>
          <w:i w:val="0"/>
          <w:iCs w:val="0"/>
          <w:caps w:val="0"/>
          <w:color w:val="000000"/>
          <w:spacing w:val="0"/>
          <w:sz w:val="32"/>
          <w:szCs w:val="32"/>
          <w:shd w:val="clear" w:fill="FFFFFF"/>
        </w:rPr>
        <w:t>。</w:t>
      </w:r>
    </w:p>
    <w:p w14:paraId="40527B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bCs w:val="0"/>
          <w:i w:val="0"/>
          <w:iCs w:val="0"/>
          <w:caps w:val="0"/>
          <w:color w:val="000000"/>
          <w:spacing w:val="0"/>
          <w:sz w:val="32"/>
          <w:szCs w:val="32"/>
          <w:shd w:val="clear" w:fill="FFFFFF"/>
        </w:rPr>
        <w:t>六、财政衔接推进乡村振兴补助资金项目建设任务</w:t>
      </w:r>
    </w:p>
    <w:p w14:paraId="57173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lang w:eastAsia="zh-CN"/>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上级下达第二批财政衔接推进乡村振兴补助资金共计</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2406.39</w:t>
      </w:r>
      <w:r>
        <w:rPr>
          <w:rFonts w:hint="eastAsia" w:ascii="方正仿宋_GB2312" w:hAnsi="方正仿宋_GB2312" w:eastAsia="方正仿宋_GB2312" w:cs="方正仿宋_GB2312"/>
          <w:b w:val="0"/>
          <w:bCs/>
          <w:i w:val="0"/>
          <w:iCs w:val="0"/>
          <w:caps w:val="0"/>
          <w:color w:val="000000"/>
          <w:spacing w:val="0"/>
          <w:sz w:val="32"/>
          <w:szCs w:val="32"/>
          <w:shd w:val="clear" w:fill="FFFFFF"/>
        </w:rPr>
        <w:t>万元，主要用于生产发展类（含产业配套的基础设施），小型公益性基础设施类，补贴类，其他类，带动约</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1500</w:t>
      </w:r>
      <w:r>
        <w:rPr>
          <w:rFonts w:hint="eastAsia" w:ascii="方正仿宋_GB2312" w:hAnsi="方正仿宋_GB2312" w:eastAsia="方正仿宋_GB2312" w:cs="方正仿宋_GB2312"/>
          <w:b w:val="0"/>
          <w:bCs/>
          <w:i w:val="0"/>
          <w:iCs w:val="0"/>
          <w:caps w:val="0"/>
          <w:color w:val="000000"/>
          <w:spacing w:val="0"/>
          <w:sz w:val="32"/>
          <w:szCs w:val="32"/>
          <w:shd w:val="clear" w:fill="FFFFFF"/>
        </w:rPr>
        <w:t>余户受益。具体资金安排和主要建设项目内容如下</w:t>
      </w: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w:t>
      </w:r>
    </w:p>
    <w:p w14:paraId="5863E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bCs w:val="0"/>
          <w:i w:val="0"/>
          <w:iCs w:val="0"/>
          <w:caps w:val="0"/>
          <w:color w:val="000000"/>
          <w:spacing w:val="0"/>
          <w:sz w:val="32"/>
          <w:szCs w:val="32"/>
        </w:rPr>
      </w:pPr>
      <w:r>
        <w:rPr>
          <w:rFonts w:hint="eastAsia" w:ascii="方正仿宋_GB2312" w:hAnsi="方正仿宋_GB2312" w:eastAsia="方正仿宋_GB2312" w:cs="方正仿宋_GB2312"/>
          <w:b/>
          <w:bCs w:val="0"/>
          <w:i w:val="0"/>
          <w:iCs w:val="0"/>
          <w:caps w:val="0"/>
          <w:color w:val="000000"/>
          <w:spacing w:val="0"/>
          <w:sz w:val="32"/>
          <w:szCs w:val="32"/>
          <w:shd w:val="clear" w:fill="FFFFFF"/>
        </w:rPr>
        <w:t>七、工作要求</w:t>
      </w:r>
    </w:p>
    <w:p w14:paraId="5B91AA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一）突出主体。财政衔接推进乡村振兴补助资金项目属于部门内资金统筹的，由各部门按照全区工作部署组织申报、调整及实施。统筹资金项目属于跨部门同类资金统筹的，由各镇（街）提出项目计划并组织实施，突出各镇（街）主体地位，参与统筹项目的各部门监督资金合规使用并分头报账。</w:t>
      </w:r>
    </w:p>
    <w:p w14:paraId="67938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二）明确责任。统筹衔接资金是一项系统工程，要坚决按照“权责一致”的要求严格实行问责。区财政局具体负责申报项目对接和项目资金管理；区乡村振兴局等业务部门具体负责统筹项目对上的衔接、申报与调整等。 </w:t>
      </w:r>
    </w:p>
    <w:p w14:paraId="572A55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三）绩效考评。进一步完善财政衔接推进乡村振兴补助资金的绩效考评制度，对专项资金的安排分配、使用管理、项目效益等情况进行全面考评。要按照“指标科学、操作简便、结果公正”的原则，进一步健全考评指标，将考评结果与下年度专项资金的分配相挂钩。对绩效好、监督措施到位的镇（街）和部门，在安排衔接项目和分配衔接资金时给予适当倾斜；对绩效差、管理不到位的镇（街）和部门，进行扣减。同时，对衔接资金使用管理好的镇（街）和部门给予通报表扬，推广经验、做法；对出现问题的镇（街）和部门进行通报批评，责成提出整改措施并限期落实。</w:t>
      </w:r>
    </w:p>
    <w:p w14:paraId="75CD34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四）阳光操作。一是在本级政府门户网站公开。公告公示信息要保持长期公开状态。二是镇（街）、村（居）和项目实施单位利用固定的信息公开栏等进行公告公示。公告公示时间原则上不得少于10天。各地应利用信息卡、宣传单等经济合理的方式，确保衔接项目公开渠道保持畅通，公开信息长期有效，公开内容随时可查。三是探索运用信息平台、政务新媒体、新闻媒体、手机短信、政务服务平台等多种载体和方式，创新公开方式，提升信息覆盖面、到达率，实现公开的衔接项目信息可检索、可核查、可利用。</w:t>
      </w:r>
    </w:p>
    <w:p w14:paraId="357D7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五）实行奖惩。区委、区政府把衔接资金统筹整合工作纳入区直相关部门年度工作目标考评范围，严格考评兑现。堆龙德庆区委农村工作领导小组(区委实施乡村振兴战略领导小组)定期召开协调会、督办会，研究解决资金统筹工作中的问题与困难；区委区政府督查室对衔接项目分阶段进行督办；区纪委、监委对推进缓慢、责任不落实的单位要进行问责。区财政局将定期或不定期组织对衔接资金统筹工作进行实地检查，发现问题及时通报，限期整改，确保取得实效。</w:t>
      </w:r>
    </w:p>
    <w:p w14:paraId="74AE5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六）监督管理。财政局、乡村振兴局要定期不定期开展衔接资金统筹整合使用专项检查和抽查，切实加强衔接资金日常监督检查，营造良好监管环境。探索完善衔接资金整合使用检查方式，采取事前、事中、事后的全过程绩效监管。对年度项目建设管理情况进行监督检查，对整合衔接专项资金工作中，不按规定程序履行报批手续，擅自申报项目或擅自调整变更项目实施计划的，给予通报批评，并依法依规追究单位领导和相关人员的责任。同时，项目完工后，项目建设单位要将项目资料提交财政部门进行审计，出具项目决算审计报告。</w:t>
      </w:r>
    </w:p>
    <w:p w14:paraId="7AE5EB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七）经费保障。区政府每年在区财政预算中增加对衔接项目规划编制、包装申报和资金整合的专项投入，保障项目整合相关工作经费。对积极向上争取项目资金的部门，要按照相关政策规定安排必要的项目前期费用。</w:t>
      </w:r>
    </w:p>
    <w:p w14:paraId="67BAE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（八）资产移交。项目竣工验收合格后，由项目建设单位负责登记工程设施，填报《竣工工程设施资产移交表》，会同施工单位及时与工程设施受益单位办理资产移交手续。</w:t>
      </w:r>
    </w:p>
    <w:p w14:paraId="5A02F5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拉萨市</w:t>
      </w:r>
      <w:r>
        <w:rPr>
          <w:rFonts w:hint="eastAsia" w:ascii="方正仿宋_GB2312" w:hAnsi="方正仿宋_GB2312" w:eastAsia="方正仿宋_GB2312" w:cs="方正仿宋_GB2312"/>
          <w:b w:val="0"/>
          <w:bCs/>
          <w:i w:val="0"/>
          <w:iCs w:val="0"/>
          <w:caps w:val="0"/>
          <w:color w:val="000000"/>
          <w:spacing w:val="0"/>
          <w:sz w:val="32"/>
          <w:szCs w:val="32"/>
          <w:u w:val="none"/>
          <w:shd w:val="clear" w:fill="FFFFFF"/>
        </w:rPr>
        <w:fldChar w:fldCharType="begin"/>
      </w:r>
      <w:r>
        <w:rPr>
          <w:rFonts w:hint="eastAsia" w:ascii="方正仿宋_GB2312" w:hAnsi="方正仿宋_GB2312" w:eastAsia="方正仿宋_GB2312" w:cs="方正仿宋_GB2312"/>
          <w:b w:val="0"/>
          <w:bCs/>
          <w:i w:val="0"/>
          <w:iCs w:val="0"/>
          <w:caps w:val="0"/>
          <w:color w:val="000000"/>
          <w:spacing w:val="0"/>
          <w:sz w:val="32"/>
          <w:szCs w:val="32"/>
          <w:u w:val="none"/>
          <w:shd w:val="clear" w:fill="FFFFFF"/>
        </w:rPr>
        <w:instrText xml:space="preserve"> HYPERLINK "https://www.dldqq.gov.cn/dldqqrmzf/c100795/202409/af0e80ae92a24b54aa26b73944e18708/files/c2200486f0e04febac6ea83eb6810fd9.xlsx" \t "https://www.dldqq.gov.cn/dldqqrmzf/c100795/202409/_blank" </w:instrText>
      </w:r>
      <w:r>
        <w:rPr>
          <w:rFonts w:hint="eastAsia" w:ascii="方正仿宋_GB2312" w:hAnsi="方正仿宋_GB2312" w:eastAsia="方正仿宋_GB2312" w:cs="方正仿宋_GB2312"/>
          <w:b w:val="0"/>
          <w:bCs/>
          <w:i w:val="0"/>
          <w:iCs w:val="0"/>
          <w:caps w:val="0"/>
          <w:color w:val="000000"/>
          <w:spacing w:val="0"/>
          <w:sz w:val="32"/>
          <w:szCs w:val="32"/>
          <w:u w:val="none"/>
          <w:shd w:val="clear" w:fill="FFFFFF"/>
        </w:rPr>
        <w:fldChar w:fldCharType="separate"/>
      </w:r>
      <w:r>
        <w:rPr>
          <w:rStyle w:val="6"/>
          <w:rFonts w:hint="eastAsia" w:ascii="方正仿宋_GB2312" w:hAnsi="方正仿宋_GB2312" w:eastAsia="方正仿宋_GB2312" w:cs="方正仿宋_GB2312"/>
          <w:b w:val="0"/>
          <w:bCs/>
          <w:i w:val="0"/>
          <w:iCs w:val="0"/>
          <w:caps w:val="0"/>
          <w:color w:val="000000"/>
          <w:spacing w:val="0"/>
          <w:sz w:val="32"/>
          <w:szCs w:val="32"/>
          <w:u w:val="none"/>
          <w:shd w:val="clear" w:fill="FFFFFF"/>
        </w:rPr>
        <w:t>堆龙德庆区202</w:t>
      </w:r>
      <w:r>
        <w:rPr>
          <w:rStyle w:val="6"/>
          <w:rFonts w:hint="eastAsia" w:ascii="方正仿宋_GB2312" w:hAnsi="方正仿宋_GB2312" w:eastAsia="方正仿宋_GB2312" w:cs="方正仿宋_GB2312"/>
          <w:b w:val="0"/>
          <w:bCs/>
          <w:i w:val="0"/>
          <w:iCs w:val="0"/>
          <w:caps w:val="0"/>
          <w:color w:val="000000"/>
          <w:spacing w:val="0"/>
          <w:sz w:val="32"/>
          <w:szCs w:val="32"/>
          <w:u w:val="none"/>
          <w:shd w:val="clear" w:fill="FFFFFF"/>
          <w:lang w:val="en-US" w:eastAsia="zh-CN"/>
        </w:rPr>
        <w:t>5</w:t>
      </w:r>
      <w:r>
        <w:rPr>
          <w:rStyle w:val="6"/>
          <w:rFonts w:hint="eastAsia" w:ascii="方正仿宋_GB2312" w:hAnsi="方正仿宋_GB2312" w:eastAsia="方正仿宋_GB2312" w:cs="方正仿宋_GB2312"/>
          <w:b w:val="0"/>
          <w:bCs/>
          <w:i w:val="0"/>
          <w:iCs w:val="0"/>
          <w:caps w:val="0"/>
          <w:color w:val="000000"/>
          <w:spacing w:val="0"/>
          <w:sz w:val="32"/>
          <w:szCs w:val="32"/>
          <w:u w:val="none"/>
          <w:shd w:val="clear" w:fill="FFFFFF"/>
        </w:rPr>
        <w:t>年</w:t>
      </w:r>
      <w:r>
        <w:rPr>
          <w:rStyle w:val="6"/>
          <w:rFonts w:hint="eastAsia" w:ascii="方正仿宋_GB2312" w:hAnsi="方正仿宋_GB2312" w:eastAsia="方正仿宋_GB2312" w:cs="方正仿宋_GB2312"/>
          <w:b w:val="0"/>
          <w:bCs/>
          <w:i w:val="0"/>
          <w:iCs w:val="0"/>
          <w:caps w:val="0"/>
          <w:color w:val="000000"/>
          <w:spacing w:val="0"/>
          <w:sz w:val="32"/>
          <w:szCs w:val="32"/>
          <w:u w:val="none"/>
          <w:shd w:val="clear" w:fill="FFFFFF"/>
          <w:lang w:eastAsia="zh-CN"/>
        </w:rPr>
        <w:t>脱贫县财政衔接推进乡村振兴补助资金实施方案</w:t>
      </w:r>
      <w:r>
        <w:rPr>
          <w:rStyle w:val="6"/>
          <w:rFonts w:hint="eastAsia" w:ascii="方正仿宋_GB2312" w:hAnsi="方正仿宋_GB2312" w:eastAsia="方正仿宋_GB2312" w:cs="方正仿宋_GB2312"/>
          <w:b w:val="0"/>
          <w:bCs/>
          <w:i w:val="0"/>
          <w:iCs w:val="0"/>
          <w:caps w:val="0"/>
          <w:color w:val="000000"/>
          <w:spacing w:val="0"/>
          <w:sz w:val="32"/>
          <w:szCs w:val="32"/>
          <w:u w:val="none"/>
          <w:shd w:val="clear" w:fill="FFFFFF"/>
        </w:rPr>
        <w:t>明细表.</w:t>
      </w:r>
      <w:r>
        <w:rPr>
          <w:rFonts w:hint="eastAsia" w:ascii="方正仿宋_GB2312" w:hAnsi="方正仿宋_GB2312" w:eastAsia="方正仿宋_GB2312" w:cs="方正仿宋_GB2312"/>
          <w:b w:val="0"/>
          <w:bCs/>
          <w:i w:val="0"/>
          <w:iCs w:val="0"/>
          <w:caps w:val="0"/>
          <w:color w:val="000000"/>
          <w:spacing w:val="0"/>
          <w:sz w:val="32"/>
          <w:szCs w:val="32"/>
          <w:u w:val="none"/>
          <w:shd w:val="clear" w:fill="FFFFFF"/>
        </w:rPr>
        <w:fldChar w:fldCharType="end"/>
      </w:r>
    </w:p>
    <w:p w14:paraId="4BA1C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jc w:val="right"/>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                                                                       拉萨市堆龙德庆区</w:t>
      </w:r>
      <w:r>
        <w:rPr>
          <w:rFonts w:hint="eastAsia" w:ascii="方正仿宋_GB2312" w:hAnsi="方正仿宋_GB2312" w:eastAsia="方正仿宋_GB2312" w:cs="方正仿宋_GB2312"/>
          <w:b w:val="0"/>
          <w:bCs/>
          <w:i w:val="0"/>
          <w:iCs w:val="0"/>
          <w:caps w:val="0"/>
          <w:color w:val="000000"/>
          <w:spacing w:val="0"/>
          <w:sz w:val="32"/>
          <w:szCs w:val="32"/>
          <w:shd w:val="clear" w:fill="FFFFFF"/>
          <w:lang w:eastAsia="zh-CN"/>
        </w:rPr>
        <w:t>农业农村和科技水利</w:t>
      </w:r>
      <w:r>
        <w:rPr>
          <w:rFonts w:hint="eastAsia" w:ascii="方正仿宋_GB2312" w:hAnsi="方正仿宋_GB2312" w:eastAsia="方正仿宋_GB2312" w:cs="方正仿宋_GB2312"/>
          <w:b w:val="0"/>
          <w:bCs/>
          <w:i w:val="0"/>
          <w:iCs w:val="0"/>
          <w:caps w:val="0"/>
          <w:color w:val="000000"/>
          <w:spacing w:val="0"/>
          <w:sz w:val="32"/>
          <w:szCs w:val="32"/>
          <w:shd w:val="clear" w:fill="FFFFFF"/>
        </w:rPr>
        <w:t>局</w:t>
      </w:r>
    </w:p>
    <w:p w14:paraId="7BE54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20" w:lineRule="atLeast"/>
        <w:ind w:left="0" w:right="0" w:firstLine="420"/>
        <w:jc w:val="right"/>
        <w:rPr>
          <w:rFonts w:hint="eastAsia" w:ascii="方正仿宋_GB2312" w:hAnsi="方正仿宋_GB2312" w:eastAsia="方正仿宋_GB2312" w:cs="方正仿宋_GB2312"/>
          <w:b w:val="0"/>
          <w:bCs/>
          <w:i w:val="0"/>
          <w:iCs w:val="0"/>
          <w:caps w:val="0"/>
          <w:color w:val="000000"/>
          <w:spacing w:val="0"/>
          <w:sz w:val="32"/>
          <w:szCs w:val="32"/>
        </w:rPr>
      </w:pPr>
      <w:r>
        <w:rPr>
          <w:rFonts w:hint="eastAsia" w:ascii="方正仿宋_GB2312" w:hAnsi="方正仿宋_GB2312" w:eastAsia="方正仿宋_GB2312" w:cs="方正仿宋_GB2312"/>
          <w:b w:val="0"/>
          <w:bCs/>
          <w:i w:val="0"/>
          <w:iCs w:val="0"/>
          <w:caps w:val="0"/>
          <w:color w:val="000000"/>
          <w:spacing w:val="0"/>
          <w:sz w:val="32"/>
          <w:szCs w:val="32"/>
          <w:shd w:val="clear" w:fill="FFFFFF"/>
        </w:rPr>
        <w:t>                                                                                   202</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5</w:t>
      </w:r>
      <w:r>
        <w:rPr>
          <w:rFonts w:hint="eastAsia" w:ascii="方正仿宋_GB2312" w:hAnsi="方正仿宋_GB2312" w:eastAsia="方正仿宋_GB2312" w:cs="方正仿宋_GB2312"/>
          <w:b w:val="0"/>
          <w:bCs/>
          <w:i w:val="0"/>
          <w:iCs w:val="0"/>
          <w:caps w:val="0"/>
          <w:color w:val="000000"/>
          <w:spacing w:val="0"/>
          <w:sz w:val="32"/>
          <w:szCs w:val="32"/>
          <w:shd w:val="clear" w:fill="FFFFFF"/>
        </w:rPr>
        <w:t>年</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11</w:t>
      </w:r>
      <w:r>
        <w:rPr>
          <w:rFonts w:hint="eastAsia" w:ascii="方正仿宋_GB2312" w:hAnsi="方正仿宋_GB2312" w:eastAsia="方正仿宋_GB2312" w:cs="方正仿宋_GB2312"/>
          <w:b w:val="0"/>
          <w:bCs/>
          <w:i w:val="0"/>
          <w:iCs w:val="0"/>
          <w:caps w:val="0"/>
          <w:color w:val="000000"/>
          <w:spacing w:val="0"/>
          <w:sz w:val="32"/>
          <w:szCs w:val="32"/>
          <w:shd w:val="clear" w:fill="FFFFFF"/>
        </w:rPr>
        <w:t>月</w:t>
      </w:r>
      <w:r>
        <w:rPr>
          <w:rFonts w:hint="eastAsia" w:ascii="方正仿宋_GB2312" w:hAnsi="方正仿宋_GB2312" w:eastAsia="方正仿宋_GB2312" w:cs="方正仿宋_GB2312"/>
          <w:b w:val="0"/>
          <w:bCs/>
          <w:i w:val="0"/>
          <w:iCs w:val="0"/>
          <w:caps w:val="0"/>
          <w:color w:val="000000"/>
          <w:spacing w:val="0"/>
          <w:sz w:val="32"/>
          <w:szCs w:val="32"/>
          <w:shd w:val="clear" w:fill="FFFFFF"/>
          <w:lang w:val="en-US" w:eastAsia="zh-CN"/>
        </w:rPr>
        <w:t>3</w:t>
      </w:r>
      <w:r>
        <w:rPr>
          <w:rFonts w:hint="eastAsia" w:ascii="方正仿宋_GB2312" w:hAnsi="方正仿宋_GB2312" w:eastAsia="方正仿宋_GB2312" w:cs="方正仿宋_GB2312"/>
          <w:b w:val="0"/>
          <w:bCs/>
          <w:i w:val="0"/>
          <w:iCs w:val="0"/>
          <w:caps w:val="0"/>
          <w:color w:val="000000"/>
          <w:spacing w:val="0"/>
          <w:sz w:val="32"/>
          <w:szCs w:val="32"/>
          <w:shd w:val="clear" w:fill="FFFFFF"/>
        </w:rPr>
        <w:t>日</w:t>
      </w:r>
    </w:p>
    <w:p w14:paraId="6BA7D4F5">
      <w:pPr>
        <w:rPr>
          <w:rFonts w:hint="eastAsia" w:ascii="方正仿宋_GB2312" w:hAnsi="方正仿宋_GB2312" w:eastAsia="方正仿宋_GB2312" w:cs="方正仿宋_GB2312"/>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BF2260-D6B5-438E-8349-7112383F4F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DB3EFD17-7DF0-4829-83CB-8E86F731150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9769E"/>
    <w:multiLevelType w:val="singleLevel"/>
    <w:tmpl w:val="674976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45011"/>
    <w:rsid w:val="30360848"/>
    <w:rsid w:val="32C63129"/>
    <w:rsid w:val="4AAC3789"/>
    <w:rsid w:val="51B87C37"/>
    <w:rsid w:val="5E0771FD"/>
    <w:rsid w:val="6BEC4EA3"/>
    <w:rsid w:val="6CA16A6E"/>
    <w:rsid w:val="6CB93DB8"/>
    <w:rsid w:val="72805705"/>
    <w:rsid w:val="74B6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3377</Words>
  <Characters>3653</Characters>
  <Lines>0</Lines>
  <Paragraphs>0</Paragraphs>
  <TotalTime>50</TotalTime>
  <ScaleCrop>false</ScaleCrop>
  <LinksUpToDate>false</LinksUpToDate>
  <CharactersWithSpaces>3700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2025-12-26T09:44:00Z</dcterms:created>
  <dc:creator>Administrator.1B8R065P8PM96GR</dc:creator>
  <cp:lastModifiedBy>WPS_1644380979</cp:lastModifiedBy>
  <dcterms:modified xsi:type="dcterms:W3CDTF">2025-12-27T08:39:37Z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eyJoZGlkIjoiMzk5ZDdhZTE3ZjI1Zjg2ZjZjNGVmNDI0Mjg1MzJiMDMiLCJ1c2VySWQiOiIxMzIzMzc5NzgwIn0=</vt:lpwstr>
  </property>
  <property fmtid="{D5CDD505-2E9C-101B-9397-08002B2CF9AE}" pid="4" name="ICV">
    <vt:lpwstr>F029DF30E2144E809C7060C9B4E3453B_13</vt:lpwstr>
  </property>
</Properties>
</file>