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5F0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center"/>
        <w:textAlignment w:val="auto"/>
        <w:rPr>
          <w:rFonts w:hint="eastAsia" w:ascii="方正小标宋简体" w:hAnsi="黑体" w:eastAsia="方正小标宋简体"/>
          <w:b w:val="0"/>
          <w:bCs/>
          <w:color w:val="000000" w:themeColor="text1"/>
          <w:sz w:val="44"/>
          <w:szCs w:val="4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b w:val="0"/>
          <w:bCs/>
          <w:color w:val="000000" w:themeColor="text1"/>
          <w:sz w:val="44"/>
          <w:szCs w:val="4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堆龙德庆区交通</w:t>
      </w:r>
      <w:r>
        <w:rPr>
          <w:rFonts w:hint="eastAsia" w:ascii="方正小标宋简体" w:hAnsi="黑体" w:eastAsia="方正小标宋简体"/>
          <w:b w:val="0"/>
          <w:bCs/>
          <w:color w:val="000000" w:themeColor="text1"/>
          <w:sz w:val="44"/>
          <w:szCs w:val="44"/>
          <w:highlight w:val="none"/>
          <w:u w:val="none"/>
          <w14:textFill>
            <w14:solidFill>
              <w14:schemeClr w14:val="tx1"/>
            </w14:solidFill>
          </w14:textFill>
        </w:rPr>
        <w:t>运输</w:t>
      </w:r>
      <w:r>
        <w:rPr>
          <w:rFonts w:hint="eastAsia" w:ascii="方正小标宋简体" w:hAnsi="黑体" w:eastAsia="方正小标宋简体"/>
          <w:b w:val="0"/>
          <w:bCs/>
          <w:color w:val="000000" w:themeColor="text1"/>
          <w:sz w:val="44"/>
          <w:szCs w:val="4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方正小标宋简体" w:hAnsi="黑体" w:eastAsia="方正小标宋简体"/>
          <w:b w:val="0"/>
          <w:bCs/>
          <w:color w:val="000000" w:themeColor="text1"/>
          <w:sz w:val="44"/>
          <w:szCs w:val="4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2025年度</w:t>
      </w:r>
    </w:p>
    <w:p w14:paraId="0172A5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center"/>
        <w:textAlignment w:val="auto"/>
        <w:rPr>
          <w:rFonts w:hint="eastAsia" w:ascii="方正小标宋简体" w:hAnsi="黑体" w:eastAsia="方正小标宋简体"/>
          <w:b w:val="0"/>
          <w:bCs/>
          <w:color w:val="000000" w:themeColor="text1"/>
          <w:sz w:val="44"/>
          <w:szCs w:val="4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b w:val="0"/>
          <w:bCs/>
          <w:color w:val="000000" w:themeColor="text1"/>
          <w:sz w:val="44"/>
          <w:szCs w:val="4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法治</w:t>
      </w:r>
      <w:r>
        <w:rPr>
          <w:rFonts w:hint="eastAsia" w:ascii="方正小标宋简体" w:hAnsi="黑体" w:eastAsia="方正小标宋简体"/>
          <w:b w:val="0"/>
          <w:bCs/>
          <w:color w:val="000000" w:themeColor="text1"/>
          <w:sz w:val="44"/>
          <w:szCs w:val="44"/>
          <w:highlight w:val="none"/>
          <w:u w:val="none"/>
          <w14:textFill>
            <w14:solidFill>
              <w14:schemeClr w14:val="tx1"/>
            </w14:solidFill>
          </w14:textFill>
        </w:rPr>
        <w:t>建设</w:t>
      </w:r>
      <w:r>
        <w:rPr>
          <w:rFonts w:hint="eastAsia" w:ascii="方正小标宋简体" w:hAnsi="黑体" w:eastAsia="方正小标宋简体"/>
          <w:b w:val="0"/>
          <w:bCs/>
          <w:color w:val="000000" w:themeColor="text1"/>
          <w:sz w:val="44"/>
          <w:szCs w:val="4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工作报告</w:t>
      </w:r>
    </w:p>
    <w:p w14:paraId="2CE37B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880" w:firstLineChars="200"/>
        <w:jc w:val="center"/>
        <w:textAlignment w:val="auto"/>
        <w:rPr>
          <w:rFonts w:hint="eastAsia" w:ascii="方正小标宋简体" w:hAnsi="黑体" w:eastAsia="方正小标宋简体"/>
          <w:b w:val="0"/>
          <w:bCs/>
          <w:color w:val="000000" w:themeColor="text1"/>
          <w:sz w:val="44"/>
          <w:szCs w:val="4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4A170EB9">
      <w:pPr>
        <w:ind w:firstLine="640" w:firstLineChars="200"/>
        <w:jc w:val="left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交通运输是保障经济社会发展的重要支撑。为了更好地服务人民群众，堆龙德庆区交通运输局局始终坚持依法行政，加强法治建设，提高交通运输管理工作的规范化、科学化、法治化水平。现将堆龙德庆区交通运输局2025年度法治建设工作总结如下：</w:t>
      </w:r>
    </w:p>
    <w:p w14:paraId="52194B92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56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4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4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工作开展情况</w:t>
      </w:r>
    </w:p>
    <w:p w14:paraId="74EE681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Chars="200" w:right="0" w:rightChars="0"/>
        <w:textAlignment w:val="auto"/>
        <w:rPr>
          <w:rFonts w:hint="eastAsia" w:ascii="方正楷体_GBK" w:hAnsi="方正楷体_GBK" w:eastAsia="方正楷体_GBK" w:cs="方正楷体_GBK"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（一）强化运输安全监管</w:t>
      </w:r>
    </w:p>
    <w:p w14:paraId="3D5D6A7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4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一是组织执法人员深入辖区“两客一危一货”运输企业，重点检查企业安全生产主体责任落实情况、车辆动态监控系统运行状况、驾驶员安全教育培训记录以及车辆技术状况维护等内容。对检查中发现的安全隐患，建立台账并责令企业限期整改，同时跟踪整改进度，确保隐患及时消除。截止目前累计检查公交公司20次，发现隐患5处，目前均已整改完毕。检查货运企业177次，排查隐患170个，目前均已整改完毕。二是加强对公交公司的监督管理，严格落实“三不进站、六不出站”制度，组织专人对公交公司的安检设备运行情况、安检流程、车辆出站检查记录等进行全面核查，确保所有进站车辆技术状况良好、驾驶员资质齐全，坚决杜绝超载、超限、携带危险品等违规行为。三是加大对非法营运车辆的打击力度，通过定点巡查与动态执法相结合的方式，严厉查处“黑车”非法载客行为，加大对非法营运车辆的打击力度，保障道路运输市场秩序稳定。截至目前累计开展非法运营车辆专项整治行动73次。行动期间，合理调配执法资源，共出动执法人员678人次，安排执法车192台次，在区内主要交通枢纽、高速路出入口等非法营运车辆常出没区域设点检查，共检查过往车辆11553余辆，共查处非法营运车辆42辆，收缴罚款共计14.24万元。</w:t>
      </w:r>
    </w:p>
    <w:p w14:paraId="4EA5EEB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Chars="200" w:right="0" w:rightChars="0"/>
        <w:textAlignment w:val="auto"/>
        <w:rPr>
          <w:rFonts w:hint="eastAsia" w:ascii="方正楷体_GBK" w:hAnsi="方正楷体_GBK" w:eastAsia="方正楷体_GBK" w:cs="方正楷体_GBK"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（二）强化路域隐患排查</w:t>
      </w:r>
    </w:p>
    <w:p w14:paraId="3188C4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color w:val="000000" w:themeColor="text1"/>
          <w:spacing w:val="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一是组织人员对辖区内农村公路重点路段开展全覆盖排查，重点检查路面是否存在裂缝、坑槽、沉降等病害，桥梁护栏、防撞设施是否完好，急弯陡坡、临水临崖路段的警示标志、减速带等安全设施是否齐全有效，以及公路沿线的排水系统是否畅通、边坡是否稳定等情况。对排查出的路面病害，及时进行养护修补。二是密切关注极端天气对公路通行的影响，提前做好应急预案和物资储备，确保一旦发生险情能够迅速响应、及时处置，保障公路安全畅通。区交通运输局累计排查52余次，排查出安全隐患13处，截至目前，已全部完成整改整治。投入日常养护经费160余万元，修复路基挡墙20米、涵洞10座。对灾害易发多发路段，投入安防资金184.34万元增设波形护栏7000米，标志牌26套，轮廓标950处，减速带两处，确保辖区内道路安全畅通，为群众出行提供便利。</w:t>
      </w:r>
    </w:p>
    <w:p w14:paraId="25970EC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Chars="200" w:right="0" w:rightChars="0"/>
        <w:textAlignment w:val="auto"/>
        <w:rPr>
          <w:rFonts w:hint="eastAsia" w:ascii="方正楷体_GBK" w:hAnsi="方正楷体_GBK" w:eastAsia="方正楷体_GBK" w:cs="方正楷体_GBK"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（三）强化建设项目安全监管</w:t>
      </w:r>
    </w:p>
    <w:p w14:paraId="519F744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一是深入市级重点项目北环西延线开展安全生产专项检查，要求各参建单位按制度开展安全周检、月检、专项检查及特殊节假日检查，强化隐患排查，按照“五定原则”治理隐患，实行隐患闭环管理，确保安全生产形势平稳可控。共开展隐患排查治理工作323余次，隐患排查518余项，均已落实整改。同时对新进场人员进行三级安全培训教育，经考核合格方可入场作业，覆盖率100%，合格率100%。截止目前共开展开展各类安全教育培训256余次，培训人数1560余人。二是加强在建交通项目的日常巡查力度，每周至少开展1-2次全覆盖检查，重点核查施工单位安全生产责任制落实情况、安全技术交底记录、危大工程专项施工方案论证及执行情况等。针对部分项目存在的施工现场材料堆放混乱、安全警示标志缺失等问题，安排专人跟踪督办，确保问题整改到位。截至目前共排查8个在建交通项目，累计出动检查人员140人次，检查施工点位80处，发现各类安全隐患20项，其中无重大隐患、一般隐患20项均已完成整改，整改完成率达100%。</w:t>
      </w:r>
    </w:p>
    <w:p w14:paraId="665A79D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Chars="200" w:right="0" w:rightChars="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spacing w:val="4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pacing w:val="4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强化安全宣传引导</w:t>
      </w:r>
    </w:p>
    <w:p w14:paraId="0514F55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围绕行业施工人员、运输司机、企业人员等重点群体，开展多形式、分层次的安全宣传教育活动。通过组织安全生产知识讲座、观看事故警示片、发放安全手册等方式，普及道路交通安全法规、施工安全操作规程、应急避险常识等内容，累计举办专题讲座7场，覆盖人员500余人次，发放宣传资料2000份。营造“人人讲安全、事事为安全、时时想安全、处处要安全”的浓厚氛围。提高从业人员和群众的安全防范意识与自我保护能力，切实提升全社会交通安全意识和应急处置能力。</w:t>
      </w:r>
    </w:p>
    <w:p w14:paraId="001678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二、存在问题</w:t>
      </w:r>
    </w:p>
    <w:p w14:paraId="3AFC7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部分企业安全意识淡薄</w:t>
      </w: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经调查发现，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部分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企业对安全生产重视程度不足。忽视安全管理制度建设，安全培训走过场，员工存在侥幸心理，如在维修作业时不按规定佩戴防护用具，违规操作设备等，安全管理制度在这些企业中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同虚设，执行不到位情况突出。</w:t>
      </w:r>
    </w:p>
    <w:p w14:paraId="38D3B1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（二） 安全隐患排查难度大。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交通运输行业涉及范围广泛，全区共有各类交通运输相关企业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735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家，经营场所分散。部分隐蔽性较强的安全隐患难以通过常规检查手段全面排查。即使采用定期抽检方式，受限于人力、物力，仍存在漏检风险。</w:t>
      </w:r>
    </w:p>
    <w:p w14:paraId="4604B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（三） 执法力量相对薄弱。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随着全区交通运输业务量每年增长，现有执法人员数量明显不足。目前，执法人员与监管业务量的配比为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1:73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，远低于行业合理标准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执法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力量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有待进一步提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。</w:t>
      </w:r>
    </w:p>
    <w:p w14:paraId="065466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三、下一步工作计划</w:t>
      </w:r>
    </w:p>
    <w:p w14:paraId="597CEC72">
      <w:pPr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（一）强化安全监管。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加大对企业的监督检查力度，严格落实安全隐患整改复查制度，确保隐患整改到位。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（二） 制定检查计划。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根据制定的检查计划，对交通运输系统企业进行检查，确保企业检查不遗漏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（三） 加强队伍建设。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定期组织执法人员业务培训，提升执法水平和专业素养。</w:t>
      </w:r>
    </w:p>
    <w:p w14:paraId="66D937A3">
      <w:pPr>
        <w:ind w:firstLine="640" w:firstLineChars="200"/>
        <w:jc w:val="left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2025年度我局法治建设工作取得了一定的成绩和经验教训。今后，我局持续加强学习和实践工作，不断提高法治意识和能力水平；加强制度建设和执行力度；加强监督和检查工作；积极推进道路运输行业的法治化建设工作。</w:t>
      </w:r>
    </w:p>
    <w:p w14:paraId="1C5BE064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kern w:val="2"/>
          <w:sz w:val="32"/>
          <w:szCs w:val="32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95833F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4F3B78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49D2FD4"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堆龙德庆区交通运输局</w:t>
      </w:r>
    </w:p>
    <w:p w14:paraId="2D4A5D63">
      <w:pPr>
        <w:ind w:firstLine="640" w:firstLineChars="200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2025年11月06日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D175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99830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99830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9D247B"/>
    <w:multiLevelType w:val="singleLevel"/>
    <w:tmpl w:val="549D247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yMTA0NDM5NTg3YmJjYWYyNTc0ZjlmZjhlMTAyYTMifQ=="/>
  </w:docVars>
  <w:rsids>
    <w:rsidRoot w:val="00000000"/>
    <w:rsid w:val="012C4523"/>
    <w:rsid w:val="03BE1C68"/>
    <w:rsid w:val="05E01F5E"/>
    <w:rsid w:val="091121C7"/>
    <w:rsid w:val="0F8E6586"/>
    <w:rsid w:val="17051B1D"/>
    <w:rsid w:val="1DCA6463"/>
    <w:rsid w:val="23477072"/>
    <w:rsid w:val="23697B67"/>
    <w:rsid w:val="2E2C6DB4"/>
    <w:rsid w:val="34493CF8"/>
    <w:rsid w:val="3DFB092F"/>
    <w:rsid w:val="470E4C48"/>
    <w:rsid w:val="4FE64628"/>
    <w:rsid w:val="51FD101B"/>
    <w:rsid w:val="55D576FE"/>
    <w:rsid w:val="57B90599"/>
    <w:rsid w:val="5BF8594B"/>
    <w:rsid w:val="5D3F5484"/>
    <w:rsid w:val="5F7D223B"/>
    <w:rsid w:val="5F7F68EF"/>
    <w:rsid w:val="69C360A8"/>
    <w:rsid w:val="700D2758"/>
    <w:rsid w:val="75643640"/>
    <w:rsid w:val="7DAB3E14"/>
    <w:rsid w:val="7E2D04C1"/>
    <w:rsid w:val="7ED54EAB"/>
    <w:rsid w:val="7F9908E2"/>
    <w:rsid w:val="7FEDF434"/>
    <w:rsid w:val="9E991542"/>
    <w:rsid w:val="B5CE7C9A"/>
    <w:rsid w:val="B75E4722"/>
    <w:rsid w:val="DFFB9A26"/>
    <w:rsid w:val="F58EE050"/>
    <w:rsid w:val="F692857C"/>
    <w:rsid w:val="F7CF0350"/>
    <w:rsid w:val="FBDD5846"/>
    <w:rsid w:val="FBFF918B"/>
    <w:rsid w:val="FFBF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2194</Words>
  <Characters>2279</Characters>
  <Lines>0</Lines>
  <Paragraphs>0</Paragraphs>
  <TotalTime>130</TotalTime>
  <ScaleCrop>false</ScaleCrop>
  <LinksUpToDate>false</LinksUpToDate>
  <CharactersWithSpaces>2320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2023-10-28T00:23:00Z</dcterms:created>
  <dc:creator>Administrator.PC-20210221FZWE</dc:creator>
  <cp:lastModifiedBy>单单</cp:lastModifiedBy>
  <cp:lastPrinted>2025-11-06T18:14:00Z</cp:lastPrinted>
  <dcterms:modified xsi:type="dcterms:W3CDTF">2026-04-03T09:46:41Z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AF8CF1B228F24B289B02CAF264B7B080_12</vt:lpwstr>
  </property>
  <property fmtid="{D5CDD505-2E9C-101B-9397-08002B2CF9AE}" pid="4" name="KSOTemplateDocerSaveRecord">
    <vt:lpwstr>eyJoZGlkIjoiMTNiNWY4ZDBmZTkwOTNmMGUwZTJjMTk2OWIxNmRkZjMiLCJ1c2VySWQiOiIyNzQzMzI2OTYifQ==</vt:lpwstr>
  </property>
</Properties>
</file>